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12"/>
        <w:gridCol w:w="1475"/>
        <w:gridCol w:w="913"/>
        <w:gridCol w:w="1050"/>
        <w:gridCol w:w="1095"/>
        <w:gridCol w:w="93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性能、规格、参数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851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备注：询比价项目报价单每家格式、内容保持一致。报价单可根据具体产品内容、服务项目进行调整。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jk5MzlmMmYwZmZlMzBkNGUxMDM3ODVmNWY1OTEifQ=="/>
    <w:docVar w:name="KSO_WPS_MARK_KEY" w:val="df738c4e-c2a1-41ff-a6b2-bc7ec92d73d5"/>
  </w:docVars>
  <w:rsids>
    <w:rsidRoot w:val="38AD2E88"/>
    <w:rsid w:val="38A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2024-08-01T08:43:00Z</dcterms:created>
  <dc:creator>王媛媛</dc:creator>
  <cp:lastModifiedBy>王媛媛</cp:lastModifiedBy>
  <dcterms:modified xsi:type="dcterms:W3CDTF">2024-08-01T08:44:13Z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9A700DBDBB494E29BC685663F98CC177_11</vt:lpwstr>
  </property>
</Properties>
</file>